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400" w:lineRule="exact"/>
        <w:ind w:left="663"/>
        <w:jc w:val="left"/>
        <w:textAlignment w:val="auto"/>
        <w:rPr>
          <w:rFonts w:hint="default" w:eastAsia="黑体"/>
          <w:lang w:val="en-US" w:eastAsia="zh-CN"/>
        </w:rPr>
      </w:pPr>
      <w:bookmarkStart w:id="0" w:name="_Toc18770"/>
      <w:bookmarkStart w:id="1" w:name="_Toc1070_WPSOffice_Level1"/>
      <w:r>
        <w:rPr>
          <w:rFonts w:hint="eastAsia" w:ascii="宋体" w:hAnsi="宋体" w:eastAsia="宋体" w:cs="宋体"/>
          <w:sz w:val="22"/>
          <w:szCs w:val="22"/>
          <w:lang w:val="en-US" w:eastAsia="zh-CN"/>
        </w:rPr>
        <w:t>附件1</w:t>
      </w:r>
    </w:p>
    <w:p>
      <w:pPr>
        <w:pStyle w:val="2"/>
        <w:spacing w:line="400" w:lineRule="exact"/>
        <w:ind w:left="661"/>
        <w:rPr>
          <w:rFonts w:hint="eastAsia" w:ascii="宋体" w:eastAsia="宋体"/>
          <w:b/>
          <w:bCs/>
          <w:kern w:val="2"/>
          <w:sz w:val="28"/>
          <w:szCs w:val="28"/>
          <w:lang w:eastAsia="zh-CN"/>
        </w:rPr>
      </w:pPr>
      <w:r>
        <w:rPr>
          <w:rFonts w:hint="eastAsia" w:ascii="宋体" w:eastAsia="宋体"/>
          <w:b/>
          <w:bCs/>
          <w:kern w:val="2"/>
          <w:sz w:val="28"/>
          <w:szCs w:val="28"/>
          <w:lang w:eastAsia="zh-CN"/>
        </w:rPr>
        <w:t>安徽省知行工程检测有限公司</w:t>
      </w:r>
    </w:p>
    <w:p>
      <w:pPr>
        <w:pStyle w:val="2"/>
        <w:spacing w:line="400" w:lineRule="exact"/>
        <w:ind w:left="661"/>
        <w:rPr>
          <w:rFonts w:hint="eastAsia" w:ascii="宋体" w:eastAsia="宋体"/>
          <w:b/>
          <w:bCs/>
          <w:kern w:val="2"/>
          <w:sz w:val="28"/>
          <w:szCs w:val="28"/>
          <w:lang w:eastAsia="zh-CN"/>
        </w:rPr>
      </w:pPr>
      <w:r>
        <w:rPr>
          <w:rFonts w:hint="eastAsia" w:ascii="宋体" w:eastAsia="宋体"/>
          <w:b/>
          <w:bCs/>
          <w:kern w:val="2"/>
          <w:sz w:val="28"/>
          <w:szCs w:val="28"/>
          <w:lang w:eastAsia="zh-CN"/>
        </w:rPr>
        <w:t>报</w:t>
      </w:r>
      <w:r>
        <w:rPr>
          <w:rFonts w:hint="eastAsia" w:ascii="宋体" w:eastAsia="宋体"/>
          <w:b/>
          <w:bCs/>
          <w:kern w:val="2"/>
          <w:sz w:val="28"/>
          <w:szCs w:val="28"/>
        </w:rPr>
        <w:t xml:space="preserve">   价   表</w:t>
      </w:r>
      <w:bookmarkEnd w:id="0"/>
      <w:bookmarkEnd w:id="1"/>
      <w:r>
        <w:rPr>
          <w:rFonts w:hint="eastAsia" w:ascii="宋体" w:eastAsia="宋体"/>
          <w:b/>
          <w:bCs/>
          <w:kern w:val="2"/>
          <w:sz w:val="28"/>
          <w:szCs w:val="28"/>
          <w:lang w:eastAsia="zh-CN"/>
        </w:rPr>
        <w:t>（</w:t>
      </w:r>
      <w:r>
        <w:rPr>
          <w:rFonts w:hint="eastAsia" w:ascii="宋体" w:eastAsia="宋体"/>
          <w:b/>
          <w:bCs/>
          <w:kern w:val="2"/>
          <w:sz w:val="28"/>
          <w:szCs w:val="28"/>
          <w:lang w:val="en-US" w:eastAsia="zh-CN"/>
        </w:rPr>
        <w:t>1</w:t>
      </w:r>
      <w:r>
        <w:rPr>
          <w:rFonts w:hint="eastAsia" w:ascii="宋体" w:eastAsia="宋体"/>
          <w:b/>
          <w:bCs/>
          <w:kern w:val="2"/>
          <w:sz w:val="28"/>
          <w:szCs w:val="28"/>
          <w:lang w:eastAsia="zh-CN"/>
        </w:rPr>
        <w:t>）</w:t>
      </w:r>
    </w:p>
    <w:tbl>
      <w:tblPr>
        <w:tblStyle w:val="4"/>
        <w:tblpPr w:leftFromText="180" w:rightFromText="180" w:vertAnchor="text" w:horzAnchor="margin" w:tblpY="398"/>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rPr>
                <w:bCs/>
                <w:color w:val="auto"/>
                <w:kern w:val="2"/>
              </w:rPr>
            </w:pPr>
            <w:bookmarkStart w:id="2" w:name="_Toc266190206"/>
            <w:bookmarkStart w:id="3" w:name="_Toc265764708"/>
            <w:bookmarkStart w:id="4" w:name="_Toc266174417"/>
            <w:bookmarkStart w:id="5" w:name="_Toc266450847"/>
            <w:r>
              <w:rPr>
                <w:rFonts w:hint="eastAsia"/>
                <w:bCs/>
                <w:color w:val="auto"/>
                <w:kern w:val="2"/>
              </w:rPr>
              <w:t>采购内容</w:t>
            </w:r>
          </w:p>
        </w:tc>
        <w:tc>
          <w:tcPr>
            <w:tcW w:w="8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bCs/>
                <w:color w:val="auto"/>
                <w:szCs w:val="21"/>
                <w:lang w:eastAsia="zh-CN"/>
              </w:rPr>
            </w:pPr>
            <w:r>
              <w:rPr>
                <w:rFonts w:hint="default" w:ascii="宋体" w:hAnsi="宋体" w:eastAsia="宋体" w:cs="Times New Roman"/>
                <w:bCs/>
                <w:color w:val="auto"/>
                <w:szCs w:val="21"/>
                <w:lang w:val="en-US" w:eastAsia="zh-CN"/>
              </w:rPr>
              <w:t>2022-2023年度桩基检测劳务分包</w:t>
            </w:r>
            <w:r>
              <w:rPr>
                <w:rFonts w:hint="eastAsia" w:ascii="宋体" w:hAnsi="宋体"/>
                <w:bCs/>
                <w:color w:val="auto"/>
                <w:szCs w:val="21"/>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rPr>
                <w:bCs/>
                <w:color w:val="auto"/>
                <w:kern w:val="2"/>
              </w:rPr>
            </w:pPr>
            <w:r>
              <w:rPr>
                <w:rFonts w:hint="eastAsia"/>
                <w:bCs/>
                <w:color w:val="auto"/>
                <w:kern w:val="2"/>
              </w:rPr>
              <w:t>服务区域</w:t>
            </w:r>
          </w:p>
        </w:tc>
        <w:tc>
          <w:tcPr>
            <w:tcW w:w="869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rPr>
                <w:rFonts w:hint="eastAsia" w:eastAsia="宋体"/>
                <w:bCs/>
                <w:color w:val="auto"/>
                <w:kern w:val="2"/>
                <w:lang w:eastAsia="zh-CN"/>
              </w:rPr>
            </w:pPr>
            <w:r>
              <w:rPr>
                <w:rFonts w:hint="eastAsia"/>
                <w:bCs/>
                <w:color w:val="auto"/>
                <w:kern w:val="2"/>
                <w:lang w:eastAsia="zh-CN"/>
              </w:rPr>
              <w:t>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9" w:hRule="atLeast"/>
        </w:trPr>
        <w:tc>
          <w:tcPr>
            <w:tcW w:w="1135" w:type="dxa"/>
            <w:tcBorders>
              <w:top w:val="single" w:color="auto" w:sz="4" w:space="0"/>
              <w:left w:val="single" w:color="auto" w:sz="4" w:space="0"/>
              <w:bottom w:val="single" w:color="auto" w:sz="2"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line="360" w:lineRule="auto"/>
              <w:rPr>
                <w:bCs/>
                <w:color w:val="auto"/>
                <w:kern w:val="2"/>
              </w:rPr>
            </w:pPr>
            <w:r>
              <w:rPr>
                <w:rFonts w:hint="eastAsia"/>
                <w:bCs/>
                <w:color w:val="auto"/>
                <w:kern w:val="2"/>
              </w:rPr>
              <w:t>投标单价</w:t>
            </w:r>
          </w:p>
        </w:tc>
        <w:tc>
          <w:tcPr>
            <w:tcW w:w="8695" w:type="dxa"/>
            <w:tcBorders>
              <w:top w:val="single" w:color="auto" w:sz="4" w:space="0"/>
              <w:left w:val="single" w:color="auto" w:sz="4" w:space="0"/>
              <w:bottom w:val="single" w:color="auto" w:sz="2" w:space="0"/>
              <w:right w:val="single" w:color="auto" w:sz="4" w:space="0"/>
            </w:tcBorders>
            <w:noWrap w:val="0"/>
            <w:vAlign w:val="top"/>
          </w:tcPr>
          <w:p>
            <w:pPr>
              <w:spacing w:beforeLines="50" w:afterLines="50" w:line="200" w:lineRule="exact"/>
              <w:rPr>
                <w:rFonts w:ascii="宋体" w:hAnsi="宋体"/>
                <w:b/>
                <w:color w:val="auto"/>
                <w:szCs w:val="21"/>
              </w:rPr>
            </w:pPr>
            <w:r>
              <w:rPr>
                <w:rFonts w:hint="eastAsia" w:ascii="宋体" w:hAnsi="宋体"/>
                <w:b/>
                <w:color w:val="auto"/>
                <w:szCs w:val="21"/>
              </w:rPr>
              <w:t>一、吊装费:</w:t>
            </w:r>
          </w:p>
          <w:tbl>
            <w:tblPr>
              <w:tblStyle w:val="4"/>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34"/>
              <w:gridCol w:w="1335"/>
              <w:gridCol w:w="2977"/>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color w:val="auto"/>
                      <w:sz w:val="18"/>
                      <w:szCs w:val="18"/>
                    </w:rPr>
                  </w:pPr>
                  <w:r>
                    <w:rPr>
                      <w:rFonts w:hint="eastAsia" w:ascii="宋体" w:hAnsi="宋体"/>
                      <w:bCs/>
                      <w:color w:val="auto"/>
                      <w:sz w:val="18"/>
                      <w:szCs w:val="18"/>
                    </w:rPr>
                    <w:t>序号</w:t>
                  </w:r>
                </w:p>
              </w:tc>
              <w:tc>
                <w:tcPr>
                  <w:tcW w:w="2234" w:type="dxa"/>
                  <w:noWrap w:val="0"/>
                  <w:vAlign w:val="center"/>
                </w:tcPr>
                <w:p>
                  <w:pPr>
                    <w:ind w:left="-283" w:leftChars="-135"/>
                    <w:jc w:val="center"/>
                    <w:rPr>
                      <w:rFonts w:ascii="宋体" w:hAnsi="宋体"/>
                      <w:bCs/>
                      <w:color w:val="auto"/>
                      <w:sz w:val="18"/>
                      <w:szCs w:val="18"/>
                    </w:rPr>
                  </w:pPr>
                  <w:r>
                    <w:rPr>
                      <w:rFonts w:hint="eastAsia" w:ascii="宋体" w:hAnsi="宋体"/>
                      <w:bCs/>
                      <w:color w:val="auto"/>
                      <w:sz w:val="18"/>
                      <w:szCs w:val="18"/>
                    </w:rPr>
                    <w:t>分类</w:t>
                  </w:r>
                </w:p>
              </w:tc>
              <w:tc>
                <w:tcPr>
                  <w:tcW w:w="1335" w:type="dxa"/>
                  <w:noWrap w:val="0"/>
                  <w:vAlign w:val="center"/>
                </w:tcPr>
                <w:p>
                  <w:pPr>
                    <w:jc w:val="center"/>
                    <w:rPr>
                      <w:rFonts w:ascii="宋体" w:hAnsi="宋体"/>
                      <w:bCs/>
                      <w:color w:val="auto"/>
                      <w:sz w:val="18"/>
                      <w:szCs w:val="18"/>
                    </w:rPr>
                  </w:pPr>
                  <w:r>
                    <w:rPr>
                      <w:rFonts w:hint="eastAsia" w:ascii="宋体" w:hAnsi="宋体"/>
                      <w:bCs/>
                      <w:color w:val="auto"/>
                      <w:sz w:val="18"/>
                      <w:szCs w:val="18"/>
                    </w:rPr>
                    <w:t>综合单价</w:t>
                  </w:r>
                </w:p>
              </w:tc>
              <w:tc>
                <w:tcPr>
                  <w:tcW w:w="2977" w:type="dxa"/>
                  <w:noWrap w:val="0"/>
                  <w:vAlign w:val="center"/>
                </w:tcPr>
                <w:p>
                  <w:pPr>
                    <w:jc w:val="center"/>
                    <w:rPr>
                      <w:rFonts w:ascii="宋体" w:hAnsi="宋体"/>
                      <w:bCs/>
                      <w:color w:val="auto"/>
                      <w:sz w:val="18"/>
                      <w:szCs w:val="18"/>
                    </w:rPr>
                  </w:pPr>
                  <w:r>
                    <w:rPr>
                      <w:rFonts w:hint="eastAsia" w:ascii="宋体" w:hAnsi="宋体"/>
                      <w:bCs/>
                      <w:color w:val="auto"/>
                      <w:sz w:val="18"/>
                      <w:szCs w:val="18"/>
                    </w:rPr>
                    <w:t>计价单位</w:t>
                  </w:r>
                </w:p>
              </w:tc>
              <w:tc>
                <w:tcPr>
                  <w:tcW w:w="995" w:type="dxa"/>
                  <w:noWrap w:val="0"/>
                  <w:vAlign w:val="center"/>
                </w:tcPr>
                <w:p>
                  <w:pPr>
                    <w:jc w:val="center"/>
                    <w:rPr>
                      <w:rFonts w:ascii="宋体" w:hAnsi="宋体"/>
                      <w:bCs/>
                      <w:color w:val="auto"/>
                      <w:sz w:val="18"/>
                      <w:szCs w:val="18"/>
                    </w:rPr>
                  </w:pPr>
                  <w:r>
                    <w:rPr>
                      <w:rFonts w:hint="eastAsia" w:ascii="宋体" w:hAnsi="宋体"/>
                      <w:bCs/>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color w:val="auto"/>
                      <w:sz w:val="18"/>
                      <w:szCs w:val="18"/>
                    </w:rPr>
                  </w:pPr>
                  <w:r>
                    <w:rPr>
                      <w:rFonts w:hint="eastAsia" w:ascii="宋体" w:hAnsi="宋体"/>
                      <w:bCs/>
                      <w:color w:val="auto"/>
                      <w:sz w:val="18"/>
                      <w:szCs w:val="18"/>
                    </w:rPr>
                    <w:t>1</w:t>
                  </w:r>
                </w:p>
              </w:tc>
              <w:tc>
                <w:tcPr>
                  <w:tcW w:w="2234" w:type="dxa"/>
                  <w:noWrap w:val="0"/>
                  <w:vAlign w:val="center"/>
                </w:tcPr>
                <w:p>
                  <w:pPr>
                    <w:ind w:firstLine="180" w:firstLineChars="100"/>
                    <w:jc w:val="center"/>
                    <w:rPr>
                      <w:rFonts w:ascii="宋体" w:hAnsi="宋体"/>
                      <w:bCs/>
                      <w:color w:val="auto"/>
                      <w:sz w:val="18"/>
                      <w:szCs w:val="18"/>
                    </w:rPr>
                  </w:pPr>
                  <w:r>
                    <w:rPr>
                      <w:rFonts w:hint="eastAsia" w:ascii="宋体" w:hAnsi="宋体"/>
                      <w:bCs/>
                      <w:color w:val="auto"/>
                      <w:sz w:val="18"/>
                      <w:szCs w:val="18"/>
                    </w:rPr>
                    <w:t>配重50吨（含）以下</w:t>
                  </w:r>
                </w:p>
              </w:tc>
              <w:tc>
                <w:tcPr>
                  <w:tcW w:w="1335" w:type="dxa"/>
                  <w:noWrap w:val="0"/>
                  <w:vAlign w:val="center"/>
                </w:tcPr>
                <w:p>
                  <w:pPr>
                    <w:jc w:val="center"/>
                    <w:rPr>
                      <w:rFonts w:ascii="宋体" w:hAnsi="宋体"/>
                      <w:bCs/>
                      <w:color w:val="auto"/>
                      <w:sz w:val="18"/>
                      <w:szCs w:val="18"/>
                    </w:rPr>
                  </w:pPr>
                </w:p>
              </w:tc>
              <w:tc>
                <w:tcPr>
                  <w:tcW w:w="2977" w:type="dxa"/>
                  <w:noWrap w:val="0"/>
                  <w:vAlign w:val="center"/>
                </w:tcPr>
                <w:p>
                  <w:pPr>
                    <w:jc w:val="center"/>
                    <w:rPr>
                      <w:rFonts w:ascii="宋体" w:hAnsi="宋体"/>
                      <w:bCs/>
                      <w:color w:val="auto"/>
                      <w:sz w:val="18"/>
                      <w:szCs w:val="18"/>
                    </w:rPr>
                  </w:pPr>
                  <w:r>
                    <w:rPr>
                      <w:rFonts w:hint="eastAsia" w:ascii="宋体" w:hAnsi="宋体"/>
                      <w:bCs/>
                      <w:color w:val="auto"/>
                      <w:sz w:val="18"/>
                      <w:szCs w:val="18"/>
                    </w:rPr>
                    <w:t>元/（点）</w:t>
                  </w:r>
                </w:p>
              </w:tc>
              <w:tc>
                <w:tcPr>
                  <w:tcW w:w="995" w:type="dxa"/>
                  <w:vMerge w:val="restart"/>
                  <w:noWrap w:val="0"/>
                  <w:vAlign w:val="center"/>
                </w:tcPr>
                <w:p>
                  <w:pPr>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color w:val="auto"/>
                      <w:sz w:val="18"/>
                      <w:szCs w:val="18"/>
                    </w:rPr>
                  </w:pPr>
                  <w:r>
                    <w:rPr>
                      <w:rFonts w:hint="eastAsia" w:ascii="宋体" w:hAnsi="宋体"/>
                      <w:bCs/>
                      <w:color w:val="auto"/>
                      <w:sz w:val="18"/>
                      <w:szCs w:val="18"/>
                    </w:rPr>
                    <w:t>2</w:t>
                  </w:r>
                </w:p>
              </w:tc>
              <w:tc>
                <w:tcPr>
                  <w:tcW w:w="2234" w:type="dxa"/>
                  <w:noWrap w:val="0"/>
                  <w:vAlign w:val="center"/>
                </w:tcPr>
                <w:p>
                  <w:pPr>
                    <w:ind w:firstLine="180" w:firstLineChars="100"/>
                    <w:jc w:val="center"/>
                    <w:rPr>
                      <w:rFonts w:ascii="宋体" w:hAnsi="宋体"/>
                      <w:bCs/>
                      <w:color w:val="auto"/>
                      <w:sz w:val="18"/>
                      <w:szCs w:val="18"/>
                    </w:rPr>
                  </w:pPr>
                  <w:r>
                    <w:rPr>
                      <w:rFonts w:hint="eastAsia" w:ascii="宋体" w:hAnsi="宋体"/>
                      <w:bCs/>
                      <w:color w:val="auto"/>
                      <w:sz w:val="18"/>
                      <w:szCs w:val="18"/>
                    </w:rPr>
                    <w:t>配重50</w:t>
                  </w:r>
                  <w:r>
                    <w:rPr>
                      <w:rFonts w:hint="eastAsia" w:ascii="宋体" w:hAnsi="宋体" w:cs="宋体"/>
                      <w:bCs/>
                      <w:color w:val="auto"/>
                      <w:sz w:val="18"/>
                      <w:szCs w:val="18"/>
                    </w:rPr>
                    <w:t>～100</w:t>
                  </w:r>
                  <w:r>
                    <w:rPr>
                      <w:rFonts w:hint="eastAsia" w:ascii="宋体" w:hAnsi="宋体"/>
                      <w:bCs/>
                      <w:color w:val="auto"/>
                      <w:sz w:val="18"/>
                      <w:szCs w:val="18"/>
                    </w:rPr>
                    <w:t>吨（含）</w:t>
                  </w:r>
                </w:p>
              </w:tc>
              <w:tc>
                <w:tcPr>
                  <w:tcW w:w="1335" w:type="dxa"/>
                  <w:noWrap w:val="0"/>
                  <w:vAlign w:val="center"/>
                </w:tcPr>
                <w:p>
                  <w:pPr>
                    <w:jc w:val="center"/>
                    <w:rPr>
                      <w:rFonts w:ascii="宋体" w:hAnsi="宋体"/>
                      <w:bCs/>
                      <w:color w:val="auto"/>
                      <w:sz w:val="18"/>
                      <w:szCs w:val="18"/>
                    </w:rPr>
                  </w:pPr>
                </w:p>
              </w:tc>
              <w:tc>
                <w:tcPr>
                  <w:tcW w:w="2977" w:type="dxa"/>
                  <w:noWrap w:val="0"/>
                  <w:vAlign w:val="center"/>
                </w:tcPr>
                <w:p>
                  <w:pPr>
                    <w:jc w:val="center"/>
                    <w:rPr>
                      <w:rFonts w:ascii="宋体" w:hAnsi="宋体"/>
                      <w:bCs/>
                      <w:color w:val="auto"/>
                      <w:sz w:val="18"/>
                      <w:szCs w:val="18"/>
                    </w:rPr>
                  </w:pPr>
                  <w:r>
                    <w:rPr>
                      <w:rFonts w:hint="eastAsia" w:ascii="宋体" w:hAnsi="宋体"/>
                      <w:bCs/>
                      <w:color w:val="auto"/>
                      <w:sz w:val="18"/>
                      <w:szCs w:val="18"/>
                    </w:rPr>
                    <w:t>元/（点）</w:t>
                  </w:r>
                </w:p>
              </w:tc>
              <w:tc>
                <w:tcPr>
                  <w:tcW w:w="995" w:type="dxa"/>
                  <w:vMerge w:val="continue"/>
                  <w:noWrap w:val="0"/>
                  <w:vAlign w:val="center"/>
                </w:tcPr>
                <w:p>
                  <w:pPr>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color w:val="auto"/>
                      <w:sz w:val="18"/>
                      <w:szCs w:val="18"/>
                    </w:rPr>
                  </w:pPr>
                  <w:r>
                    <w:rPr>
                      <w:rFonts w:hint="eastAsia" w:ascii="宋体" w:hAnsi="宋体"/>
                      <w:bCs/>
                      <w:color w:val="auto"/>
                      <w:sz w:val="18"/>
                      <w:szCs w:val="18"/>
                    </w:rPr>
                    <w:t>3</w:t>
                  </w:r>
                </w:p>
              </w:tc>
              <w:tc>
                <w:tcPr>
                  <w:tcW w:w="2234" w:type="dxa"/>
                  <w:noWrap w:val="0"/>
                  <w:vAlign w:val="center"/>
                </w:tcPr>
                <w:p>
                  <w:pPr>
                    <w:jc w:val="center"/>
                    <w:rPr>
                      <w:rFonts w:ascii="宋体" w:hAnsi="宋体"/>
                      <w:bCs/>
                      <w:color w:val="auto"/>
                      <w:sz w:val="18"/>
                      <w:szCs w:val="18"/>
                    </w:rPr>
                  </w:pPr>
                  <w:r>
                    <w:rPr>
                      <w:rFonts w:hint="eastAsia" w:ascii="宋体" w:hAnsi="宋体"/>
                      <w:bCs/>
                      <w:color w:val="auto"/>
                      <w:sz w:val="18"/>
                      <w:szCs w:val="18"/>
                    </w:rPr>
                    <w:t>配重100</w:t>
                  </w:r>
                  <w:r>
                    <w:rPr>
                      <w:rFonts w:hint="eastAsia" w:ascii="宋体" w:hAnsi="宋体" w:cs="宋体"/>
                      <w:bCs/>
                      <w:color w:val="auto"/>
                      <w:sz w:val="18"/>
                      <w:szCs w:val="18"/>
                    </w:rPr>
                    <w:t>～200</w:t>
                  </w:r>
                  <w:r>
                    <w:rPr>
                      <w:rFonts w:hint="eastAsia" w:ascii="宋体" w:hAnsi="宋体"/>
                      <w:bCs/>
                      <w:color w:val="auto"/>
                      <w:sz w:val="18"/>
                      <w:szCs w:val="18"/>
                    </w:rPr>
                    <w:t>吨（含）</w:t>
                  </w:r>
                </w:p>
              </w:tc>
              <w:tc>
                <w:tcPr>
                  <w:tcW w:w="1335" w:type="dxa"/>
                  <w:noWrap w:val="0"/>
                  <w:vAlign w:val="center"/>
                </w:tcPr>
                <w:p>
                  <w:pPr>
                    <w:jc w:val="center"/>
                    <w:rPr>
                      <w:rFonts w:ascii="宋体" w:hAnsi="宋体"/>
                      <w:bCs/>
                      <w:color w:val="auto"/>
                      <w:sz w:val="18"/>
                      <w:szCs w:val="18"/>
                    </w:rPr>
                  </w:pPr>
                </w:p>
              </w:tc>
              <w:tc>
                <w:tcPr>
                  <w:tcW w:w="2977" w:type="dxa"/>
                  <w:noWrap w:val="0"/>
                  <w:vAlign w:val="center"/>
                </w:tcPr>
                <w:p>
                  <w:pPr>
                    <w:jc w:val="center"/>
                    <w:rPr>
                      <w:rFonts w:ascii="宋体" w:hAnsi="宋体"/>
                      <w:bCs/>
                      <w:color w:val="auto"/>
                      <w:sz w:val="18"/>
                      <w:szCs w:val="18"/>
                    </w:rPr>
                  </w:pPr>
                  <w:r>
                    <w:rPr>
                      <w:rFonts w:hint="eastAsia" w:ascii="宋体" w:hAnsi="宋体"/>
                      <w:bCs/>
                      <w:color w:val="auto"/>
                      <w:sz w:val="18"/>
                      <w:szCs w:val="18"/>
                    </w:rPr>
                    <w:t>元/（点）</w:t>
                  </w:r>
                </w:p>
              </w:tc>
              <w:tc>
                <w:tcPr>
                  <w:tcW w:w="995" w:type="dxa"/>
                  <w:vMerge w:val="continue"/>
                  <w:noWrap w:val="0"/>
                  <w:vAlign w:val="center"/>
                </w:tcPr>
                <w:p>
                  <w:pPr>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color w:val="auto"/>
                      <w:sz w:val="18"/>
                      <w:szCs w:val="18"/>
                    </w:rPr>
                  </w:pPr>
                  <w:r>
                    <w:rPr>
                      <w:rFonts w:hint="eastAsia" w:ascii="宋体" w:hAnsi="宋体"/>
                      <w:bCs/>
                      <w:color w:val="auto"/>
                      <w:sz w:val="18"/>
                      <w:szCs w:val="18"/>
                    </w:rPr>
                    <w:t>4</w:t>
                  </w:r>
                </w:p>
              </w:tc>
              <w:tc>
                <w:tcPr>
                  <w:tcW w:w="2234" w:type="dxa"/>
                  <w:noWrap w:val="0"/>
                  <w:vAlign w:val="center"/>
                </w:tcPr>
                <w:p>
                  <w:pPr>
                    <w:jc w:val="center"/>
                    <w:rPr>
                      <w:rFonts w:ascii="宋体" w:hAnsi="宋体"/>
                      <w:bCs/>
                      <w:color w:val="auto"/>
                      <w:sz w:val="18"/>
                      <w:szCs w:val="18"/>
                    </w:rPr>
                  </w:pPr>
                  <w:r>
                    <w:rPr>
                      <w:rFonts w:hint="eastAsia" w:ascii="宋体" w:hAnsi="宋体"/>
                      <w:bCs/>
                      <w:color w:val="auto"/>
                      <w:sz w:val="18"/>
                      <w:szCs w:val="18"/>
                    </w:rPr>
                    <w:t>配重200</w:t>
                  </w:r>
                  <w:r>
                    <w:rPr>
                      <w:rFonts w:hint="eastAsia" w:ascii="宋体" w:hAnsi="宋体" w:cs="宋体"/>
                      <w:bCs/>
                      <w:color w:val="auto"/>
                      <w:sz w:val="18"/>
                      <w:szCs w:val="18"/>
                    </w:rPr>
                    <w:t>～300</w:t>
                  </w:r>
                  <w:r>
                    <w:rPr>
                      <w:rFonts w:hint="eastAsia" w:ascii="宋体" w:hAnsi="宋体"/>
                      <w:bCs/>
                      <w:color w:val="auto"/>
                      <w:sz w:val="18"/>
                      <w:szCs w:val="18"/>
                    </w:rPr>
                    <w:t>吨（含）</w:t>
                  </w:r>
                </w:p>
              </w:tc>
              <w:tc>
                <w:tcPr>
                  <w:tcW w:w="1335" w:type="dxa"/>
                  <w:noWrap w:val="0"/>
                  <w:vAlign w:val="center"/>
                </w:tcPr>
                <w:p>
                  <w:pPr>
                    <w:jc w:val="center"/>
                    <w:rPr>
                      <w:rFonts w:ascii="宋体" w:hAnsi="宋体"/>
                      <w:bCs/>
                      <w:color w:val="auto"/>
                      <w:sz w:val="18"/>
                      <w:szCs w:val="18"/>
                    </w:rPr>
                  </w:pPr>
                </w:p>
              </w:tc>
              <w:tc>
                <w:tcPr>
                  <w:tcW w:w="2977" w:type="dxa"/>
                  <w:noWrap w:val="0"/>
                  <w:vAlign w:val="center"/>
                </w:tcPr>
                <w:p>
                  <w:pPr>
                    <w:jc w:val="center"/>
                    <w:rPr>
                      <w:rFonts w:ascii="宋体" w:hAnsi="宋体"/>
                      <w:bCs/>
                      <w:color w:val="auto"/>
                      <w:sz w:val="18"/>
                      <w:szCs w:val="18"/>
                    </w:rPr>
                  </w:pPr>
                  <w:r>
                    <w:rPr>
                      <w:rFonts w:hint="eastAsia" w:ascii="宋体" w:hAnsi="宋体"/>
                      <w:bCs/>
                      <w:color w:val="auto"/>
                      <w:sz w:val="18"/>
                      <w:szCs w:val="18"/>
                    </w:rPr>
                    <w:t>元/（点）</w:t>
                  </w:r>
                </w:p>
              </w:tc>
              <w:tc>
                <w:tcPr>
                  <w:tcW w:w="995" w:type="dxa"/>
                  <w:vMerge w:val="continue"/>
                  <w:noWrap w:val="0"/>
                  <w:vAlign w:val="center"/>
                </w:tcPr>
                <w:p>
                  <w:pPr>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noWrap w:val="0"/>
                  <w:vAlign w:val="center"/>
                </w:tcPr>
                <w:p>
                  <w:pPr>
                    <w:jc w:val="center"/>
                    <w:rPr>
                      <w:rFonts w:ascii="宋体" w:hAnsi="宋体"/>
                      <w:bCs/>
                      <w:color w:val="auto"/>
                      <w:sz w:val="18"/>
                      <w:szCs w:val="18"/>
                    </w:rPr>
                  </w:pPr>
                  <w:r>
                    <w:rPr>
                      <w:rFonts w:hint="eastAsia" w:ascii="宋体" w:hAnsi="宋体"/>
                      <w:bCs/>
                      <w:color w:val="auto"/>
                      <w:sz w:val="18"/>
                      <w:szCs w:val="18"/>
                    </w:rPr>
                    <w:t>5</w:t>
                  </w:r>
                </w:p>
              </w:tc>
              <w:tc>
                <w:tcPr>
                  <w:tcW w:w="2234" w:type="dxa"/>
                  <w:noWrap w:val="0"/>
                  <w:vAlign w:val="center"/>
                </w:tcPr>
                <w:p>
                  <w:pPr>
                    <w:jc w:val="center"/>
                    <w:rPr>
                      <w:rFonts w:ascii="宋体" w:hAnsi="宋体"/>
                      <w:bCs/>
                      <w:color w:val="auto"/>
                      <w:sz w:val="18"/>
                      <w:szCs w:val="18"/>
                    </w:rPr>
                  </w:pPr>
                  <w:r>
                    <w:rPr>
                      <w:rFonts w:hint="eastAsia" w:ascii="宋体" w:hAnsi="宋体"/>
                      <w:bCs/>
                      <w:color w:val="auto"/>
                      <w:sz w:val="18"/>
                      <w:szCs w:val="18"/>
                    </w:rPr>
                    <w:t>配重300</w:t>
                  </w:r>
                  <w:r>
                    <w:rPr>
                      <w:rFonts w:hint="eastAsia" w:ascii="宋体" w:hAnsi="宋体" w:cs="宋体"/>
                      <w:bCs/>
                      <w:color w:val="auto"/>
                      <w:sz w:val="18"/>
                      <w:szCs w:val="18"/>
                    </w:rPr>
                    <w:t>～500</w:t>
                  </w:r>
                  <w:r>
                    <w:rPr>
                      <w:rFonts w:hint="eastAsia" w:ascii="宋体" w:hAnsi="宋体"/>
                      <w:bCs/>
                      <w:color w:val="auto"/>
                      <w:sz w:val="18"/>
                      <w:szCs w:val="18"/>
                    </w:rPr>
                    <w:t>吨（含）</w:t>
                  </w:r>
                </w:p>
              </w:tc>
              <w:tc>
                <w:tcPr>
                  <w:tcW w:w="1335" w:type="dxa"/>
                  <w:noWrap w:val="0"/>
                  <w:vAlign w:val="center"/>
                </w:tcPr>
                <w:p>
                  <w:pPr>
                    <w:jc w:val="center"/>
                    <w:rPr>
                      <w:rFonts w:ascii="宋体" w:hAnsi="宋体"/>
                      <w:bCs/>
                      <w:color w:val="auto"/>
                      <w:sz w:val="18"/>
                      <w:szCs w:val="18"/>
                    </w:rPr>
                  </w:pPr>
                </w:p>
              </w:tc>
              <w:tc>
                <w:tcPr>
                  <w:tcW w:w="2977" w:type="dxa"/>
                  <w:noWrap w:val="0"/>
                  <w:vAlign w:val="center"/>
                </w:tcPr>
                <w:p>
                  <w:pPr>
                    <w:jc w:val="center"/>
                    <w:rPr>
                      <w:rFonts w:ascii="宋体" w:hAnsi="宋体"/>
                      <w:bCs/>
                      <w:color w:val="auto"/>
                      <w:sz w:val="18"/>
                      <w:szCs w:val="18"/>
                    </w:rPr>
                  </w:pPr>
                  <w:r>
                    <w:rPr>
                      <w:rFonts w:hint="eastAsia" w:ascii="宋体" w:hAnsi="宋体"/>
                      <w:bCs/>
                      <w:color w:val="auto"/>
                      <w:sz w:val="18"/>
                      <w:szCs w:val="18"/>
                    </w:rPr>
                    <w:t>元/（吨·点）</w:t>
                  </w:r>
                </w:p>
              </w:tc>
              <w:tc>
                <w:tcPr>
                  <w:tcW w:w="995" w:type="dxa"/>
                  <w:vMerge w:val="restart"/>
                  <w:noWrap w:val="0"/>
                  <w:vAlign w:val="center"/>
                </w:tcPr>
                <w:p>
                  <w:pPr>
                    <w:spacing w:line="240" w:lineRule="exact"/>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noWrap w:val="0"/>
                  <w:vAlign w:val="center"/>
                </w:tcPr>
                <w:p>
                  <w:pPr>
                    <w:jc w:val="center"/>
                    <w:rPr>
                      <w:rFonts w:ascii="宋体" w:hAnsi="宋体"/>
                      <w:bCs/>
                      <w:color w:val="auto"/>
                      <w:sz w:val="18"/>
                      <w:szCs w:val="18"/>
                    </w:rPr>
                  </w:pPr>
                  <w:r>
                    <w:rPr>
                      <w:rFonts w:hint="eastAsia" w:ascii="宋体" w:hAnsi="宋体"/>
                      <w:bCs/>
                      <w:color w:val="auto"/>
                      <w:sz w:val="18"/>
                      <w:szCs w:val="18"/>
                    </w:rPr>
                    <w:t>6</w:t>
                  </w:r>
                </w:p>
              </w:tc>
              <w:tc>
                <w:tcPr>
                  <w:tcW w:w="2234" w:type="dxa"/>
                  <w:noWrap w:val="0"/>
                  <w:vAlign w:val="center"/>
                </w:tcPr>
                <w:p>
                  <w:pPr>
                    <w:jc w:val="center"/>
                    <w:rPr>
                      <w:rFonts w:ascii="宋体" w:hAnsi="宋体"/>
                      <w:bCs/>
                      <w:color w:val="auto"/>
                      <w:sz w:val="18"/>
                      <w:szCs w:val="18"/>
                    </w:rPr>
                  </w:pPr>
                  <w:r>
                    <w:rPr>
                      <w:rFonts w:hint="eastAsia" w:ascii="宋体" w:hAnsi="宋体"/>
                      <w:bCs/>
                      <w:color w:val="auto"/>
                      <w:sz w:val="18"/>
                      <w:szCs w:val="18"/>
                    </w:rPr>
                    <w:t>配重500</w:t>
                  </w:r>
                  <w:r>
                    <w:rPr>
                      <w:rFonts w:hint="eastAsia" w:ascii="宋体" w:hAnsi="宋体" w:cs="宋体"/>
                      <w:bCs/>
                      <w:color w:val="auto"/>
                      <w:sz w:val="18"/>
                      <w:szCs w:val="18"/>
                    </w:rPr>
                    <w:t>～1500</w:t>
                  </w:r>
                  <w:r>
                    <w:rPr>
                      <w:rFonts w:hint="eastAsia" w:ascii="宋体" w:hAnsi="宋体"/>
                      <w:bCs/>
                      <w:color w:val="auto"/>
                      <w:sz w:val="18"/>
                      <w:szCs w:val="18"/>
                    </w:rPr>
                    <w:t>吨（含）</w:t>
                  </w:r>
                </w:p>
              </w:tc>
              <w:tc>
                <w:tcPr>
                  <w:tcW w:w="1335" w:type="dxa"/>
                  <w:noWrap w:val="0"/>
                  <w:vAlign w:val="center"/>
                </w:tcPr>
                <w:p>
                  <w:pPr>
                    <w:jc w:val="center"/>
                    <w:rPr>
                      <w:rFonts w:ascii="宋体" w:hAnsi="宋体"/>
                      <w:bCs/>
                      <w:color w:val="auto"/>
                      <w:sz w:val="18"/>
                      <w:szCs w:val="18"/>
                    </w:rPr>
                  </w:pPr>
                </w:p>
              </w:tc>
              <w:tc>
                <w:tcPr>
                  <w:tcW w:w="2977" w:type="dxa"/>
                  <w:noWrap w:val="0"/>
                  <w:vAlign w:val="center"/>
                </w:tcPr>
                <w:p>
                  <w:pPr>
                    <w:jc w:val="center"/>
                    <w:rPr>
                      <w:rFonts w:ascii="宋体" w:hAnsi="宋体"/>
                      <w:bCs/>
                      <w:color w:val="auto"/>
                      <w:sz w:val="18"/>
                      <w:szCs w:val="18"/>
                    </w:rPr>
                  </w:pPr>
                  <w:r>
                    <w:rPr>
                      <w:rFonts w:hint="eastAsia" w:ascii="宋体" w:hAnsi="宋体"/>
                      <w:bCs/>
                      <w:color w:val="auto"/>
                      <w:sz w:val="18"/>
                      <w:szCs w:val="18"/>
                    </w:rPr>
                    <w:t>元/（吨·点）</w:t>
                  </w:r>
                </w:p>
              </w:tc>
              <w:tc>
                <w:tcPr>
                  <w:tcW w:w="995" w:type="dxa"/>
                  <w:vMerge w:val="continue"/>
                  <w:noWrap w:val="0"/>
                  <w:vAlign w:val="center"/>
                </w:tcPr>
                <w:p>
                  <w:pPr>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noWrap w:val="0"/>
                  <w:vAlign w:val="center"/>
                </w:tcPr>
                <w:p>
                  <w:pPr>
                    <w:jc w:val="center"/>
                    <w:rPr>
                      <w:rFonts w:ascii="宋体" w:hAnsi="宋体"/>
                      <w:bCs/>
                      <w:color w:val="auto"/>
                      <w:sz w:val="18"/>
                      <w:szCs w:val="18"/>
                    </w:rPr>
                  </w:pPr>
                  <w:r>
                    <w:rPr>
                      <w:rFonts w:hint="eastAsia" w:ascii="宋体" w:hAnsi="宋体"/>
                      <w:bCs/>
                      <w:color w:val="auto"/>
                      <w:sz w:val="18"/>
                      <w:szCs w:val="18"/>
                    </w:rPr>
                    <w:t>7</w:t>
                  </w:r>
                </w:p>
              </w:tc>
              <w:tc>
                <w:tcPr>
                  <w:tcW w:w="2234" w:type="dxa"/>
                  <w:noWrap w:val="0"/>
                  <w:vAlign w:val="center"/>
                </w:tcPr>
                <w:p>
                  <w:pPr>
                    <w:jc w:val="center"/>
                    <w:rPr>
                      <w:rFonts w:ascii="宋体" w:hAnsi="宋体"/>
                      <w:bCs/>
                      <w:color w:val="auto"/>
                      <w:sz w:val="18"/>
                      <w:szCs w:val="18"/>
                    </w:rPr>
                  </w:pPr>
                  <w:r>
                    <w:rPr>
                      <w:rFonts w:hint="eastAsia" w:ascii="宋体" w:hAnsi="宋体"/>
                      <w:bCs/>
                      <w:color w:val="auto"/>
                      <w:sz w:val="18"/>
                      <w:szCs w:val="18"/>
                    </w:rPr>
                    <w:t>配重1500</w:t>
                  </w:r>
                  <w:r>
                    <w:rPr>
                      <w:rFonts w:hint="eastAsia" w:ascii="宋体" w:hAnsi="宋体" w:cs="宋体"/>
                      <w:bCs/>
                      <w:color w:val="auto"/>
                      <w:sz w:val="18"/>
                      <w:szCs w:val="18"/>
                    </w:rPr>
                    <w:t>～2000</w:t>
                  </w:r>
                  <w:r>
                    <w:rPr>
                      <w:rFonts w:hint="eastAsia" w:ascii="宋体" w:hAnsi="宋体"/>
                      <w:bCs/>
                      <w:color w:val="auto"/>
                      <w:sz w:val="18"/>
                      <w:szCs w:val="18"/>
                    </w:rPr>
                    <w:t>吨（含）</w:t>
                  </w:r>
                </w:p>
              </w:tc>
              <w:tc>
                <w:tcPr>
                  <w:tcW w:w="1335" w:type="dxa"/>
                  <w:noWrap w:val="0"/>
                  <w:vAlign w:val="center"/>
                </w:tcPr>
                <w:p>
                  <w:pPr>
                    <w:jc w:val="center"/>
                    <w:rPr>
                      <w:rFonts w:ascii="宋体" w:hAnsi="宋体"/>
                      <w:bCs/>
                      <w:color w:val="auto"/>
                      <w:sz w:val="18"/>
                      <w:szCs w:val="18"/>
                    </w:rPr>
                  </w:pPr>
                </w:p>
              </w:tc>
              <w:tc>
                <w:tcPr>
                  <w:tcW w:w="2977" w:type="dxa"/>
                  <w:noWrap w:val="0"/>
                  <w:vAlign w:val="center"/>
                </w:tcPr>
                <w:p>
                  <w:pPr>
                    <w:jc w:val="center"/>
                    <w:rPr>
                      <w:rFonts w:ascii="宋体" w:hAnsi="宋体"/>
                      <w:bCs/>
                      <w:color w:val="auto"/>
                      <w:sz w:val="18"/>
                      <w:szCs w:val="18"/>
                    </w:rPr>
                  </w:pPr>
                  <w:r>
                    <w:rPr>
                      <w:rFonts w:hint="eastAsia" w:ascii="宋体" w:hAnsi="宋体"/>
                      <w:bCs/>
                      <w:color w:val="auto"/>
                      <w:sz w:val="18"/>
                      <w:szCs w:val="18"/>
                    </w:rPr>
                    <w:t>元/（吨·点）</w:t>
                  </w:r>
                </w:p>
              </w:tc>
              <w:tc>
                <w:tcPr>
                  <w:tcW w:w="995" w:type="dxa"/>
                  <w:vMerge w:val="continue"/>
                  <w:noWrap w:val="0"/>
                  <w:vAlign w:val="center"/>
                </w:tcPr>
                <w:p>
                  <w:pPr>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880" w:type="dxa"/>
                  <w:noWrap w:val="0"/>
                  <w:vAlign w:val="center"/>
                </w:tcPr>
                <w:p>
                  <w:pPr>
                    <w:jc w:val="center"/>
                    <w:rPr>
                      <w:rFonts w:ascii="宋体" w:hAnsi="宋体"/>
                      <w:bCs/>
                      <w:color w:val="auto"/>
                      <w:sz w:val="18"/>
                      <w:szCs w:val="18"/>
                    </w:rPr>
                  </w:pPr>
                  <w:r>
                    <w:rPr>
                      <w:rFonts w:hint="eastAsia" w:ascii="宋体" w:hAnsi="宋体"/>
                      <w:bCs/>
                      <w:color w:val="auto"/>
                      <w:sz w:val="18"/>
                      <w:szCs w:val="18"/>
                    </w:rPr>
                    <w:t>8</w:t>
                  </w:r>
                </w:p>
              </w:tc>
              <w:tc>
                <w:tcPr>
                  <w:tcW w:w="2234" w:type="dxa"/>
                  <w:noWrap w:val="0"/>
                  <w:vAlign w:val="center"/>
                </w:tcPr>
                <w:p>
                  <w:pPr>
                    <w:jc w:val="center"/>
                    <w:rPr>
                      <w:rFonts w:ascii="宋体" w:hAnsi="宋体"/>
                      <w:bCs/>
                      <w:color w:val="auto"/>
                      <w:sz w:val="18"/>
                      <w:szCs w:val="18"/>
                    </w:rPr>
                  </w:pPr>
                  <w:r>
                    <w:rPr>
                      <w:rFonts w:hint="eastAsia" w:ascii="宋体" w:hAnsi="宋体"/>
                      <w:bCs/>
                      <w:color w:val="auto"/>
                      <w:sz w:val="18"/>
                      <w:szCs w:val="18"/>
                    </w:rPr>
                    <w:t>配重2000吨以上</w:t>
                  </w:r>
                </w:p>
              </w:tc>
              <w:tc>
                <w:tcPr>
                  <w:tcW w:w="1335" w:type="dxa"/>
                  <w:noWrap w:val="0"/>
                  <w:vAlign w:val="center"/>
                </w:tcPr>
                <w:p>
                  <w:pPr>
                    <w:jc w:val="center"/>
                    <w:rPr>
                      <w:rFonts w:ascii="宋体" w:hAnsi="宋体"/>
                      <w:bCs/>
                      <w:color w:val="auto"/>
                      <w:sz w:val="18"/>
                      <w:szCs w:val="18"/>
                    </w:rPr>
                  </w:pPr>
                </w:p>
              </w:tc>
              <w:tc>
                <w:tcPr>
                  <w:tcW w:w="2977" w:type="dxa"/>
                  <w:noWrap w:val="0"/>
                  <w:vAlign w:val="center"/>
                </w:tcPr>
                <w:p>
                  <w:pPr>
                    <w:jc w:val="center"/>
                    <w:rPr>
                      <w:rFonts w:ascii="宋体" w:hAnsi="宋体"/>
                      <w:bCs/>
                      <w:color w:val="auto"/>
                      <w:sz w:val="18"/>
                      <w:szCs w:val="18"/>
                    </w:rPr>
                  </w:pPr>
                  <w:r>
                    <w:rPr>
                      <w:rFonts w:hint="eastAsia" w:ascii="宋体" w:hAnsi="宋体"/>
                      <w:bCs/>
                      <w:color w:val="auto"/>
                      <w:sz w:val="18"/>
                      <w:szCs w:val="18"/>
                    </w:rPr>
                    <w:t>元/（吨·点）</w:t>
                  </w:r>
                </w:p>
              </w:tc>
              <w:tc>
                <w:tcPr>
                  <w:tcW w:w="995" w:type="dxa"/>
                  <w:vMerge w:val="continue"/>
                  <w:noWrap w:val="0"/>
                  <w:vAlign w:val="center"/>
                </w:tcPr>
                <w:p>
                  <w:pPr>
                    <w:jc w:val="center"/>
                    <w:rPr>
                      <w:rFonts w:ascii="宋体" w:hAnsi="宋体"/>
                      <w:bCs/>
                      <w:color w:val="auto"/>
                      <w:sz w:val="18"/>
                      <w:szCs w:val="18"/>
                    </w:rPr>
                  </w:pPr>
                </w:p>
              </w:tc>
            </w:tr>
          </w:tbl>
          <w:p>
            <w:pPr>
              <w:spacing w:line="240" w:lineRule="exact"/>
              <w:rPr>
                <w:rFonts w:hint="eastAsia" w:ascii="宋体" w:hAnsi="宋体" w:eastAsia="宋体" w:cs="宋体"/>
                <w:b/>
                <w:color w:val="auto"/>
                <w:sz w:val="18"/>
                <w:szCs w:val="18"/>
                <w:lang w:eastAsia="zh-CN"/>
              </w:rPr>
            </w:pPr>
            <w:r>
              <w:rPr>
                <w:rFonts w:hint="eastAsia" w:ascii="宋体" w:hAnsi="宋体" w:cs="宋体"/>
                <w:b/>
                <w:color w:val="auto"/>
                <w:sz w:val="18"/>
                <w:szCs w:val="18"/>
              </w:rPr>
              <w:t>吊装费</w:t>
            </w:r>
            <w:r>
              <w:rPr>
                <w:rFonts w:hint="eastAsia" w:ascii="宋体" w:hAnsi="宋体" w:cs="宋体"/>
                <w:b/>
                <w:color w:val="auto"/>
                <w:sz w:val="18"/>
                <w:szCs w:val="18"/>
                <w:lang w:eastAsia="zh-CN"/>
              </w:rPr>
              <w:t>说明：</w:t>
            </w:r>
          </w:p>
          <w:p>
            <w:pPr>
              <w:spacing w:line="240" w:lineRule="exact"/>
              <w:rPr>
                <w:rFonts w:ascii="宋体" w:hAnsi="宋体" w:cs="宋体"/>
                <w:bCs/>
                <w:color w:val="auto"/>
                <w:sz w:val="18"/>
                <w:szCs w:val="18"/>
              </w:rPr>
            </w:pPr>
            <w:r>
              <w:rPr>
                <w:rFonts w:hint="eastAsia" w:ascii="宋体" w:hAnsi="宋体" w:cs="宋体"/>
                <w:bCs/>
                <w:color w:val="auto"/>
                <w:sz w:val="18"/>
                <w:szCs w:val="18"/>
              </w:rPr>
              <w:t>1、单价应已包含支墩配重块、钢梁及静载设备配件重量的吊装费用；</w:t>
            </w:r>
          </w:p>
          <w:p>
            <w:pPr>
              <w:spacing w:line="240" w:lineRule="exact"/>
              <w:rPr>
                <w:rFonts w:hint="eastAsia" w:ascii="宋体" w:hAnsi="宋体" w:eastAsia="宋体" w:cs="宋体"/>
                <w:bCs/>
                <w:color w:val="auto"/>
                <w:sz w:val="18"/>
                <w:szCs w:val="18"/>
                <w:lang w:eastAsia="zh-CN"/>
              </w:rPr>
            </w:pPr>
            <w:r>
              <w:rPr>
                <w:rFonts w:hint="eastAsia" w:ascii="宋体" w:hAnsi="宋体" w:cs="宋体"/>
                <w:bCs/>
                <w:color w:val="auto"/>
                <w:sz w:val="18"/>
                <w:szCs w:val="18"/>
              </w:rPr>
              <w:t>2、</w:t>
            </w:r>
            <w:r>
              <w:rPr>
                <w:rFonts w:hint="eastAsia" w:ascii="宋体" w:hAnsi="宋体"/>
                <w:b/>
                <w:bCs w:val="0"/>
                <w:color w:val="auto"/>
                <w:sz w:val="18"/>
                <w:szCs w:val="18"/>
              </w:rPr>
              <w:t>配重一上一下为一个点</w:t>
            </w:r>
            <w:r>
              <w:rPr>
                <w:rFonts w:hint="eastAsia" w:ascii="宋体" w:hAnsi="宋体"/>
                <w:bCs/>
                <w:color w:val="auto"/>
                <w:sz w:val="18"/>
                <w:szCs w:val="18"/>
              </w:rPr>
              <w:t>，每多翻一次为0.5个点；</w:t>
            </w:r>
            <w:r>
              <w:rPr>
                <w:rFonts w:hint="eastAsia" w:ascii="宋体" w:hAnsi="宋体" w:cs="宋体"/>
                <w:bCs/>
                <w:color w:val="auto"/>
                <w:sz w:val="18"/>
                <w:szCs w:val="18"/>
              </w:rPr>
              <w:t>吊车2翻1架计1.5个试验点；吊车3翻1架计2个试验点，依次类推</w:t>
            </w:r>
            <w:r>
              <w:rPr>
                <w:rFonts w:hint="eastAsia" w:ascii="宋体" w:hAnsi="宋体" w:cs="宋体"/>
                <w:bCs/>
                <w:color w:val="auto"/>
                <w:sz w:val="18"/>
                <w:szCs w:val="18"/>
                <w:lang w:eastAsia="zh-CN"/>
              </w:rPr>
              <w:t>；</w:t>
            </w:r>
          </w:p>
          <w:p>
            <w:pPr>
              <w:spacing w:line="240" w:lineRule="exact"/>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3、吊车吊装起步价：</w:t>
            </w:r>
            <w:r>
              <w:rPr>
                <w:rFonts w:hint="eastAsia" w:ascii="宋体" w:hAnsi="宋体" w:cs="宋体"/>
                <w:bCs/>
                <w:color w:val="auto"/>
                <w:sz w:val="18"/>
                <w:szCs w:val="18"/>
                <w:u w:val="single"/>
                <w:lang w:val="en-US" w:eastAsia="zh-CN"/>
              </w:rPr>
              <w:t xml:space="preserve">      </w:t>
            </w:r>
            <w:r>
              <w:rPr>
                <w:rFonts w:hint="eastAsia" w:ascii="宋体" w:hAnsi="宋体" w:cs="宋体"/>
                <w:bCs/>
                <w:color w:val="auto"/>
                <w:sz w:val="18"/>
                <w:szCs w:val="18"/>
                <w:lang w:val="en-US" w:eastAsia="zh-CN"/>
              </w:rPr>
              <w:t>元（用于吊车单独吊装钢梁及辅助设备或因甲方的原因导致放空的情况）；</w:t>
            </w:r>
          </w:p>
          <w:p>
            <w:pPr>
              <w:spacing w:line="240" w:lineRule="exact"/>
              <w:rPr>
                <w:rFonts w:hint="default" w:ascii="宋体" w:hAnsi="宋体" w:cs="宋体"/>
                <w:bCs/>
                <w:color w:val="auto"/>
                <w:sz w:val="18"/>
                <w:szCs w:val="18"/>
                <w:lang w:val="en-US" w:eastAsia="zh-CN"/>
              </w:rPr>
            </w:pPr>
            <w:r>
              <w:rPr>
                <w:rFonts w:hint="eastAsia" w:ascii="宋体" w:hAnsi="宋体" w:cs="宋体"/>
                <w:bCs/>
                <w:color w:val="auto"/>
                <w:sz w:val="18"/>
                <w:szCs w:val="18"/>
                <w:lang w:val="en-US" w:eastAsia="zh-CN"/>
              </w:rPr>
              <w:t>4、吊车吊装配重装车、卸车时，分别按试验点吨位0.5个点计费（若单次计费低于起步价，按起步价计费）。</w:t>
            </w:r>
          </w:p>
          <w:p>
            <w:pPr>
              <w:spacing w:line="240" w:lineRule="exact"/>
              <w:rPr>
                <w:rFonts w:ascii="宋体" w:hAnsi="宋体"/>
                <w:b/>
                <w:color w:val="auto"/>
                <w:szCs w:val="21"/>
              </w:rPr>
            </w:pPr>
            <w:r>
              <w:rPr>
                <w:rFonts w:hint="eastAsia" w:ascii="宋体" w:hAnsi="宋体"/>
                <w:b/>
                <w:color w:val="auto"/>
                <w:szCs w:val="21"/>
              </w:rPr>
              <w:t>二、运输费：</w:t>
            </w:r>
          </w:p>
          <w:p>
            <w:pPr>
              <w:spacing w:line="240" w:lineRule="exact"/>
              <w:rPr>
                <w:rFonts w:hint="eastAsia" w:ascii="宋体" w:hAnsi="宋体" w:eastAsia="宋体" w:cs="宋体"/>
                <w:bCs/>
                <w:color w:val="auto"/>
                <w:sz w:val="18"/>
                <w:szCs w:val="18"/>
                <w:lang w:eastAsia="zh-CN"/>
              </w:rPr>
            </w:pPr>
            <w:r>
              <w:rPr>
                <w:rFonts w:hint="eastAsia" w:ascii="宋体" w:hAnsi="宋体" w:cs="宋体"/>
                <w:bCs/>
                <w:color w:val="auto"/>
                <w:sz w:val="18"/>
                <w:szCs w:val="18"/>
              </w:rPr>
              <w:t>1、同城（区域）项目间运输：起步公里数20公里（含）以内</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元/吨，超过20公里按</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元/吨·公里</w:t>
            </w:r>
            <w:r>
              <w:rPr>
                <w:rFonts w:hint="eastAsia" w:ascii="宋体" w:hAnsi="宋体" w:cs="宋体"/>
                <w:bCs/>
                <w:color w:val="auto"/>
                <w:sz w:val="18"/>
                <w:szCs w:val="18"/>
                <w:lang w:eastAsia="zh-CN"/>
              </w:rPr>
              <w:t>；</w:t>
            </w:r>
          </w:p>
          <w:p>
            <w:pPr>
              <w:spacing w:line="240" w:lineRule="exact"/>
              <w:rPr>
                <w:rFonts w:hint="eastAsia" w:ascii="宋体" w:hAnsi="宋体" w:eastAsia="宋体" w:cs="宋体"/>
                <w:bCs/>
                <w:color w:val="auto"/>
                <w:sz w:val="18"/>
                <w:szCs w:val="18"/>
                <w:lang w:eastAsia="zh-CN"/>
              </w:rPr>
            </w:pPr>
            <w:r>
              <w:rPr>
                <w:rFonts w:hint="eastAsia" w:ascii="宋体" w:hAnsi="宋体" w:cs="宋体"/>
                <w:bCs/>
                <w:color w:val="auto"/>
                <w:sz w:val="18"/>
                <w:szCs w:val="18"/>
              </w:rPr>
              <w:t>2、场地内运输（不经过市政道路）：转场运输费人民币</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元/吨（3公里以内）</w:t>
            </w:r>
            <w:r>
              <w:rPr>
                <w:rFonts w:hint="eastAsia" w:ascii="宋体" w:hAnsi="宋体" w:cs="宋体"/>
                <w:bCs/>
                <w:color w:val="auto"/>
                <w:sz w:val="18"/>
                <w:szCs w:val="18"/>
                <w:lang w:eastAsia="zh-CN"/>
              </w:rPr>
              <w:t>；</w:t>
            </w:r>
          </w:p>
          <w:p>
            <w:pPr>
              <w:spacing w:line="240" w:lineRule="exact"/>
              <w:rPr>
                <w:rFonts w:hint="eastAsia" w:ascii="宋体" w:hAnsi="宋体" w:cs="宋体"/>
                <w:bCs/>
                <w:color w:val="auto"/>
                <w:sz w:val="18"/>
                <w:szCs w:val="18"/>
                <w:lang w:eastAsia="zh-CN"/>
              </w:rPr>
            </w:pPr>
            <w:r>
              <w:rPr>
                <w:rFonts w:hint="eastAsia" w:ascii="宋体" w:hAnsi="宋体" w:cs="宋体"/>
                <w:bCs/>
                <w:color w:val="auto"/>
                <w:sz w:val="18"/>
                <w:szCs w:val="18"/>
              </w:rPr>
              <w:t>3、跨城（区域）运输：（自行描述）</w:t>
            </w:r>
            <w:r>
              <w:rPr>
                <w:rFonts w:hint="eastAsia" w:ascii="宋体" w:hAnsi="宋体" w:cs="宋体"/>
                <w:bCs/>
                <w:color w:val="auto"/>
                <w:sz w:val="18"/>
                <w:szCs w:val="18"/>
                <w:lang w:eastAsia="zh-CN"/>
              </w:rPr>
              <w:t>；</w:t>
            </w:r>
          </w:p>
          <w:p>
            <w:pPr>
              <w:spacing w:line="240" w:lineRule="exact"/>
              <w:rPr>
                <w:rFonts w:hint="default" w:ascii="宋体" w:hAnsi="宋体" w:cs="宋体"/>
                <w:bCs/>
                <w:color w:val="auto"/>
                <w:sz w:val="18"/>
                <w:szCs w:val="18"/>
                <w:lang w:val="en-US" w:eastAsia="zh-CN"/>
              </w:rPr>
            </w:pPr>
            <w:r>
              <w:rPr>
                <w:rFonts w:hint="eastAsia" w:ascii="宋体" w:hAnsi="宋体" w:cs="宋体"/>
                <w:bCs/>
                <w:color w:val="auto"/>
                <w:sz w:val="18"/>
                <w:szCs w:val="18"/>
                <w:lang w:val="en-US" w:eastAsia="zh-CN"/>
              </w:rPr>
              <w:t>4、大型货车单独运输钢梁及辅助设备：市内</w:t>
            </w:r>
            <w:r>
              <w:rPr>
                <w:rFonts w:hint="eastAsia" w:ascii="宋体" w:hAnsi="宋体" w:cs="宋体"/>
                <w:bCs/>
                <w:color w:val="auto"/>
                <w:sz w:val="18"/>
                <w:szCs w:val="18"/>
                <w:u w:val="single"/>
                <w:lang w:val="en-US" w:eastAsia="zh-CN"/>
              </w:rPr>
              <w:t>：800</w:t>
            </w:r>
            <w:r>
              <w:rPr>
                <w:rFonts w:hint="eastAsia" w:ascii="宋体" w:hAnsi="宋体" w:cs="宋体"/>
                <w:bCs/>
                <w:color w:val="auto"/>
                <w:sz w:val="18"/>
                <w:szCs w:val="18"/>
                <w:u w:val="none"/>
                <w:lang w:val="en-US" w:eastAsia="zh-CN"/>
              </w:rPr>
              <w:t>元</w:t>
            </w:r>
            <w:r>
              <w:rPr>
                <w:rFonts w:hint="eastAsia" w:ascii="宋体" w:hAnsi="宋体" w:cs="宋体"/>
                <w:bCs/>
                <w:color w:val="auto"/>
                <w:sz w:val="18"/>
                <w:szCs w:val="18"/>
                <w:lang w:val="en-US" w:eastAsia="zh-CN"/>
              </w:rPr>
              <w:t>/趟、跨城&lt;100公里：</w:t>
            </w:r>
            <w:r>
              <w:rPr>
                <w:rFonts w:hint="eastAsia" w:ascii="宋体" w:hAnsi="宋体" w:cs="宋体"/>
                <w:bCs/>
                <w:color w:val="auto"/>
                <w:sz w:val="18"/>
                <w:szCs w:val="18"/>
                <w:u w:val="single"/>
                <w:lang w:val="en-US" w:eastAsia="zh-CN"/>
              </w:rPr>
              <w:t xml:space="preserve">     </w:t>
            </w:r>
            <w:r>
              <w:rPr>
                <w:rFonts w:hint="eastAsia" w:ascii="宋体" w:hAnsi="宋体" w:cs="宋体"/>
                <w:bCs/>
                <w:color w:val="auto"/>
                <w:sz w:val="18"/>
                <w:szCs w:val="18"/>
                <w:u w:val="none"/>
                <w:lang w:val="en-US" w:eastAsia="zh-CN"/>
              </w:rPr>
              <w:t>元</w:t>
            </w:r>
            <w:r>
              <w:rPr>
                <w:rFonts w:hint="eastAsia" w:ascii="宋体" w:hAnsi="宋体" w:cs="宋体"/>
                <w:bCs/>
                <w:color w:val="auto"/>
                <w:sz w:val="18"/>
                <w:szCs w:val="18"/>
                <w:lang w:val="en-US" w:eastAsia="zh-CN"/>
              </w:rPr>
              <w:t>/趟、跨城≤200公里：</w:t>
            </w:r>
            <w:r>
              <w:rPr>
                <w:rFonts w:hint="eastAsia" w:ascii="宋体" w:hAnsi="宋体" w:cs="宋体"/>
                <w:bCs/>
                <w:color w:val="auto"/>
                <w:sz w:val="18"/>
                <w:szCs w:val="18"/>
                <w:u w:val="single"/>
                <w:lang w:val="en-US" w:eastAsia="zh-CN"/>
              </w:rPr>
              <w:t xml:space="preserve">    </w:t>
            </w:r>
            <w:r>
              <w:rPr>
                <w:rFonts w:hint="eastAsia" w:ascii="宋体" w:hAnsi="宋体" w:cs="宋体"/>
                <w:bCs/>
                <w:color w:val="auto"/>
                <w:sz w:val="18"/>
                <w:szCs w:val="18"/>
                <w:lang w:val="en-US" w:eastAsia="zh-CN"/>
              </w:rPr>
              <w:t>元/趟、跨城&gt;200公里：</w:t>
            </w:r>
            <w:r>
              <w:rPr>
                <w:rFonts w:hint="eastAsia" w:ascii="宋体" w:hAnsi="宋体" w:cs="宋体"/>
                <w:bCs/>
                <w:color w:val="auto"/>
                <w:sz w:val="18"/>
                <w:szCs w:val="18"/>
                <w:u w:val="single"/>
                <w:lang w:val="en-US" w:eastAsia="zh-CN"/>
              </w:rPr>
              <w:t xml:space="preserve">      </w:t>
            </w:r>
            <w:r>
              <w:rPr>
                <w:rFonts w:hint="eastAsia" w:ascii="宋体" w:hAnsi="宋体" w:cs="宋体"/>
                <w:bCs/>
                <w:color w:val="auto"/>
                <w:sz w:val="18"/>
                <w:szCs w:val="18"/>
                <w:lang w:val="en-US" w:eastAsia="zh-CN"/>
              </w:rPr>
              <w:t>元/趟。</w:t>
            </w:r>
          </w:p>
          <w:p>
            <w:pPr>
              <w:suppressAutoHyphens/>
              <w:autoSpaceDE w:val="0"/>
              <w:autoSpaceDN w:val="0"/>
              <w:adjustRightInd w:val="0"/>
              <w:spacing w:line="240" w:lineRule="exact"/>
              <w:rPr>
                <w:rFonts w:ascii="宋体" w:hAnsi="宋体"/>
                <w:bCs/>
                <w:color w:val="auto"/>
                <w:sz w:val="18"/>
                <w:szCs w:val="18"/>
              </w:rPr>
            </w:pPr>
            <w:r>
              <w:rPr>
                <w:rFonts w:hint="eastAsia" w:ascii="宋体" w:hAnsi="宋体"/>
                <w:b/>
                <w:color w:val="auto"/>
                <w:szCs w:val="21"/>
              </w:rPr>
              <w:t>三、租赁费：</w:t>
            </w:r>
            <w:r>
              <w:rPr>
                <w:rFonts w:hint="eastAsia" w:ascii="宋体" w:hAnsi="宋体"/>
                <w:bCs/>
                <w:color w:val="auto"/>
                <w:sz w:val="18"/>
                <w:szCs w:val="18"/>
                <w:lang w:val="zh-CN"/>
              </w:rPr>
              <w:t>配重块</w:t>
            </w:r>
            <w:r>
              <w:rPr>
                <w:rFonts w:hint="eastAsia" w:ascii="宋体" w:hAnsi="宋体"/>
                <w:bCs/>
                <w:color w:val="auto"/>
                <w:sz w:val="18"/>
                <w:szCs w:val="18"/>
                <w:u w:val="single"/>
              </w:rPr>
              <w:t xml:space="preserve">       </w:t>
            </w:r>
            <w:r>
              <w:rPr>
                <w:rFonts w:hint="eastAsia" w:ascii="宋体" w:hAnsi="宋体"/>
                <w:bCs/>
                <w:color w:val="auto"/>
                <w:sz w:val="18"/>
                <w:szCs w:val="18"/>
                <w:lang w:val="zh-CN"/>
              </w:rPr>
              <w:t>元/吨/天</w:t>
            </w:r>
            <w:r>
              <w:rPr>
                <w:rFonts w:hint="eastAsia" w:ascii="宋体" w:hAnsi="宋体"/>
                <w:bCs/>
                <w:color w:val="auto"/>
                <w:sz w:val="18"/>
                <w:szCs w:val="18"/>
              </w:rPr>
              <w:t>；平台0-100T</w:t>
            </w:r>
            <w:r>
              <w:rPr>
                <w:rFonts w:hint="eastAsia" w:ascii="宋体" w:hAnsi="宋体"/>
                <w:bCs/>
                <w:color w:val="auto"/>
                <w:sz w:val="18"/>
                <w:szCs w:val="18"/>
                <w:u w:val="single"/>
              </w:rPr>
              <w:t xml:space="preserve">       </w:t>
            </w:r>
            <w:r>
              <w:rPr>
                <w:rFonts w:hint="eastAsia" w:ascii="宋体" w:hAnsi="宋体"/>
                <w:bCs/>
                <w:color w:val="auto"/>
                <w:sz w:val="18"/>
                <w:szCs w:val="18"/>
              </w:rPr>
              <w:t>元/天，100 T-400T</w:t>
            </w:r>
            <w:r>
              <w:rPr>
                <w:rFonts w:hint="eastAsia" w:ascii="宋体" w:hAnsi="宋体"/>
                <w:bCs/>
                <w:color w:val="auto"/>
                <w:sz w:val="18"/>
                <w:szCs w:val="18"/>
                <w:u w:val="single"/>
              </w:rPr>
              <w:t xml:space="preserve">       </w:t>
            </w:r>
            <w:r>
              <w:rPr>
                <w:rFonts w:hint="eastAsia" w:ascii="宋体" w:hAnsi="宋体"/>
                <w:bCs/>
                <w:color w:val="auto"/>
                <w:sz w:val="18"/>
                <w:szCs w:val="18"/>
              </w:rPr>
              <w:t>元/天，</w:t>
            </w:r>
          </w:p>
          <w:p>
            <w:pPr>
              <w:suppressAutoHyphens/>
              <w:autoSpaceDE w:val="0"/>
              <w:autoSpaceDN w:val="0"/>
              <w:adjustRightInd w:val="0"/>
              <w:spacing w:line="240" w:lineRule="exact"/>
              <w:rPr>
                <w:rFonts w:ascii="宋体" w:hAnsi="宋体"/>
                <w:bCs/>
                <w:color w:val="auto"/>
                <w:sz w:val="18"/>
                <w:szCs w:val="18"/>
              </w:rPr>
            </w:pPr>
            <w:r>
              <w:rPr>
                <w:rFonts w:hint="eastAsia" w:ascii="宋体" w:hAnsi="宋体"/>
                <w:bCs/>
                <w:color w:val="auto"/>
                <w:sz w:val="18"/>
                <w:szCs w:val="18"/>
              </w:rPr>
              <w:t>400T-600T</w:t>
            </w:r>
            <w:r>
              <w:rPr>
                <w:rFonts w:hint="eastAsia" w:ascii="宋体" w:hAnsi="宋体"/>
                <w:bCs/>
                <w:color w:val="auto"/>
                <w:sz w:val="18"/>
                <w:szCs w:val="18"/>
                <w:u w:val="single"/>
              </w:rPr>
              <w:t xml:space="preserve">         </w:t>
            </w:r>
            <w:r>
              <w:rPr>
                <w:rFonts w:hint="eastAsia" w:ascii="宋体" w:hAnsi="宋体"/>
                <w:bCs/>
                <w:color w:val="auto"/>
                <w:sz w:val="18"/>
                <w:szCs w:val="18"/>
              </w:rPr>
              <w:t>元/天，600T-800T</w:t>
            </w:r>
            <w:r>
              <w:rPr>
                <w:rFonts w:hint="eastAsia" w:ascii="宋体" w:hAnsi="宋体"/>
                <w:bCs/>
                <w:color w:val="auto"/>
                <w:sz w:val="18"/>
                <w:szCs w:val="18"/>
                <w:u w:val="single"/>
              </w:rPr>
              <w:t xml:space="preserve">         </w:t>
            </w:r>
            <w:r>
              <w:rPr>
                <w:rFonts w:hint="eastAsia" w:ascii="宋体" w:hAnsi="宋体"/>
                <w:bCs/>
                <w:color w:val="auto"/>
                <w:sz w:val="18"/>
                <w:szCs w:val="18"/>
              </w:rPr>
              <w:t>元/天，800T-1000T</w:t>
            </w:r>
            <w:r>
              <w:rPr>
                <w:rFonts w:hint="eastAsia" w:ascii="宋体" w:hAnsi="宋体"/>
                <w:bCs/>
                <w:color w:val="auto"/>
                <w:sz w:val="18"/>
                <w:szCs w:val="18"/>
                <w:u w:val="single"/>
              </w:rPr>
              <w:t xml:space="preserve">         </w:t>
            </w:r>
            <w:r>
              <w:rPr>
                <w:rFonts w:hint="eastAsia" w:ascii="宋体" w:hAnsi="宋体"/>
                <w:bCs/>
                <w:color w:val="auto"/>
                <w:sz w:val="18"/>
                <w:szCs w:val="18"/>
              </w:rPr>
              <w:t>元/天，</w:t>
            </w:r>
          </w:p>
          <w:p>
            <w:pPr>
              <w:suppressAutoHyphens/>
              <w:autoSpaceDE w:val="0"/>
              <w:autoSpaceDN w:val="0"/>
              <w:adjustRightInd w:val="0"/>
              <w:spacing w:line="240" w:lineRule="exact"/>
              <w:rPr>
                <w:rFonts w:ascii="宋体" w:hAnsi="宋体"/>
                <w:bCs/>
                <w:color w:val="auto"/>
                <w:sz w:val="18"/>
                <w:szCs w:val="18"/>
              </w:rPr>
            </w:pPr>
            <w:r>
              <w:rPr>
                <w:rFonts w:hint="eastAsia" w:ascii="宋体" w:hAnsi="宋体"/>
                <w:bCs/>
                <w:color w:val="auto"/>
                <w:sz w:val="18"/>
                <w:szCs w:val="18"/>
              </w:rPr>
              <w:t>1000T-1500T</w:t>
            </w:r>
            <w:r>
              <w:rPr>
                <w:rFonts w:hint="eastAsia" w:ascii="宋体" w:hAnsi="宋体"/>
                <w:bCs/>
                <w:color w:val="auto"/>
                <w:sz w:val="18"/>
                <w:szCs w:val="18"/>
                <w:u w:val="single"/>
              </w:rPr>
              <w:t xml:space="preserve">         </w:t>
            </w:r>
            <w:r>
              <w:rPr>
                <w:rFonts w:hint="eastAsia" w:ascii="宋体" w:hAnsi="宋体"/>
                <w:bCs/>
                <w:color w:val="auto"/>
                <w:sz w:val="18"/>
                <w:szCs w:val="18"/>
              </w:rPr>
              <w:t>元/天，1500T-2000T</w:t>
            </w:r>
            <w:r>
              <w:rPr>
                <w:rFonts w:hint="eastAsia" w:ascii="宋体" w:hAnsi="宋体"/>
                <w:bCs/>
                <w:color w:val="auto"/>
                <w:sz w:val="18"/>
                <w:szCs w:val="18"/>
                <w:u w:val="single"/>
              </w:rPr>
              <w:t xml:space="preserve">         </w:t>
            </w:r>
            <w:r>
              <w:rPr>
                <w:rFonts w:hint="eastAsia" w:ascii="宋体" w:hAnsi="宋体"/>
                <w:bCs/>
                <w:color w:val="auto"/>
                <w:sz w:val="18"/>
                <w:szCs w:val="18"/>
              </w:rPr>
              <w:t>元/天，2000T-3000T</w:t>
            </w:r>
            <w:r>
              <w:rPr>
                <w:rFonts w:hint="eastAsia" w:ascii="宋体" w:hAnsi="宋体"/>
                <w:bCs/>
                <w:color w:val="auto"/>
                <w:sz w:val="18"/>
                <w:szCs w:val="18"/>
                <w:u w:val="single"/>
              </w:rPr>
              <w:t xml:space="preserve">         </w:t>
            </w:r>
            <w:r>
              <w:rPr>
                <w:rFonts w:hint="eastAsia" w:ascii="宋体" w:hAnsi="宋体"/>
                <w:bCs/>
                <w:color w:val="auto"/>
                <w:sz w:val="18"/>
                <w:szCs w:val="18"/>
              </w:rPr>
              <w:t>元/天，</w:t>
            </w:r>
          </w:p>
          <w:p>
            <w:pPr>
              <w:suppressAutoHyphens/>
              <w:autoSpaceDE w:val="0"/>
              <w:autoSpaceDN w:val="0"/>
              <w:adjustRightInd w:val="0"/>
              <w:spacing w:line="240" w:lineRule="exact"/>
              <w:rPr>
                <w:rFonts w:ascii="宋体" w:hAnsi="宋体"/>
                <w:b/>
                <w:color w:val="auto"/>
                <w:szCs w:val="21"/>
              </w:rPr>
            </w:pPr>
            <w:r>
              <w:rPr>
                <w:rFonts w:hint="eastAsia" w:ascii="宋体" w:hAnsi="宋体"/>
                <w:bCs/>
                <w:color w:val="auto"/>
                <w:sz w:val="18"/>
                <w:szCs w:val="18"/>
              </w:rPr>
              <w:t>3000T-4000T</w:t>
            </w:r>
            <w:r>
              <w:rPr>
                <w:rFonts w:hint="eastAsia" w:ascii="宋体" w:hAnsi="宋体"/>
                <w:bCs/>
                <w:color w:val="auto"/>
                <w:sz w:val="18"/>
                <w:szCs w:val="18"/>
                <w:u w:val="single"/>
              </w:rPr>
              <w:t xml:space="preserve">         </w:t>
            </w:r>
            <w:r>
              <w:rPr>
                <w:rFonts w:hint="eastAsia" w:ascii="宋体" w:hAnsi="宋体"/>
                <w:bCs/>
                <w:color w:val="auto"/>
                <w:sz w:val="18"/>
                <w:szCs w:val="18"/>
              </w:rPr>
              <w:t>元/天，甲方所租的配重及平台设备若不使用且不影响乙方吊走的情况时间不算租金。</w:t>
            </w:r>
          </w:p>
          <w:p>
            <w:pPr>
              <w:spacing w:line="240" w:lineRule="exact"/>
              <w:rPr>
                <w:rFonts w:ascii="宋体" w:hAnsi="宋体"/>
                <w:bCs/>
                <w:color w:val="auto"/>
                <w:szCs w:val="21"/>
              </w:rPr>
            </w:pPr>
            <w:r>
              <w:rPr>
                <w:rFonts w:hint="eastAsia" w:ascii="宋体" w:hAnsi="Courier New" w:cs="宋体"/>
                <w:b/>
                <w:bCs/>
                <w:color w:val="auto"/>
                <w:kern w:val="0"/>
                <w:szCs w:val="21"/>
              </w:rPr>
              <w:t>四、</w:t>
            </w:r>
            <w:r>
              <w:rPr>
                <w:rFonts w:hint="eastAsia" w:ascii="宋体" w:hAnsi="宋体"/>
                <w:b/>
                <w:bCs/>
                <w:color w:val="auto"/>
                <w:sz w:val="18"/>
                <w:szCs w:val="18"/>
              </w:rPr>
              <w:t>综合单价包干内容：包括但不限于完成检测劳务工程所有的材料费、人工费、机械费、远程施工费、场地处理、机械进退场费、技术处理费、合同工期内的赶工费、各种施工风险、技术措施费(包括雨季及异常气候施工措施费等</w:t>
            </w:r>
            <w:r>
              <w:rPr>
                <w:rFonts w:hint="eastAsia" w:ascii="宋体" w:hAnsi="宋体"/>
                <w:b/>
                <w:bCs/>
                <w:color w:val="auto"/>
                <w:sz w:val="18"/>
                <w:szCs w:val="18"/>
                <w:lang w:eastAsia="zh-CN"/>
              </w:rPr>
              <w:t>）</w:t>
            </w:r>
            <w:r>
              <w:rPr>
                <w:rFonts w:hint="eastAsia" w:ascii="宋体" w:hAnsi="宋体"/>
                <w:b/>
                <w:bCs/>
                <w:color w:val="auto"/>
                <w:sz w:val="18"/>
                <w:szCs w:val="18"/>
              </w:rPr>
              <w:t>、管理费、文明安全施工措施费、临时设施费及其它措施费、税管费、利润及本合同虽未提及但承包人在完成检测劳务工程过程中必须支付的与本工程相关的其他费用</w:t>
            </w:r>
            <w:r>
              <w:rPr>
                <w:rFonts w:hint="eastAsia" w:ascii="宋体" w:hAnsi="宋体"/>
                <w:bCs/>
                <w:color w:val="auto"/>
                <w:sz w:val="18"/>
                <w:szCs w:val="18"/>
              </w:rPr>
              <w:t>。</w:t>
            </w:r>
            <w:r>
              <w:rPr>
                <w:rFonts w:hint="eastAsia" w:ascii="宋体" w:hAnsi="宋体" w:cs="宋体"/>
                <w:bCs/>
                <w:color w:val="auto"/>
                <w:sz w:val="18"/>
                <w:szCs w:val="18"/>
                <w:lang w:eastAsia="zh-CN"/>
              </w:rPr>
              <w:t>其他未涉及</w:t>
            </w:r>
            <w:r>
              <w:rPr>
                <w:rFonts w:hint="eastAsia" w:ascii="宋体" w:hAnsi="宋体" w:cs="宋体"/>
                <w:bCs/>
                <w:color w:val="auto"/>
                <w:sz w:val="18"/>
                <w:szCs w:val="18"/>
              </w:rPr>
              <w:t>到的区域按上述就近区域考虑。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9830" w:type="dxa"/>
            <w:gridSpan w:val="2"/>
            <w:tcBorders>
              <w:top w:val="single" w:color="auto" w:sz="4" w:space="0"/>
              <w:left w:val="single" w:color="auto" w:sz="4" w:space="0"/>
              <w:bottom w:val="single" w:color="auto" w:sz="4" w:space="0"/>
              <w:right w:val="single" w:color="auto" w:sz="4" w:space="0"/>
            </w:tcBorders>
            <w:noWrap w:val="0"/>
            <w:vAlign w:val="center"/>
          </w:tcPr>
          <w:p>
            <w:pPr>
              <w:ind w:firstLine="840" w:firstLineChars="400"/>
              <w:jc w:val="right"/>
              <w:rPr>
                <w:rFonts w:hint="default" w:ascii="宋体" w:hAnsi="宋体" w:eastAsia="宋体"/>
                <w:color w:val="auto"/>
                <w:szCs w:val="21"/>
                <w:u w:val="single"/>
                <w:lang w:val="en-US" w:eastAsia="zh-CN"/>
              </w:rPr>
            </w:pPr>
            <w:r>
              <w:rPr>
                <w:rFonts w:hint="eastAsia" w:ascii="宋体" w:hAnsi="宋体"/>
                <w:color w:val="auto"/>
                <w:szCs w:val="21"/>
              </w:rPr>
              <w:t>公司名称：</w:t>
            </w:r>
            <w:r>
              <w:rPr>
                <w:rFonts w:hint="eastAsia" w:ascii="宋体" w:hAnsi="宋体"/>
                <w:color w:val="auto"/>
                <w:szCs w:val="21"/>
                <w:lang w:val="en-US" w:eastAsia="zh-CN"/>
              </w:rPr>
              <w:t xml:space="preserve">                 （公章）</w:t>
            </w:r>
          </w:p>
          <w:p>
            <w:pPr>
              <w:ind w:firstLine="840" w:firstLineChars="400"/>
              <w:jc w:val="center"/>
              <w:rPr>
                <w:rFonts w:ascii="宋体" w:hAnsi="宋体"/>
                <w:color w:val="auto"/>
                <w:szCs w:val="21"/>
                <w:u w:val="single"/>
              </w:rPr>
            </w:pPr>
          </w:p>
          <w:p>
            <w:pPr>
              <w:jc w:val="right"/>
              <w:rPr>
                <w:rFonts w:ascii="宋体" w:hAnsi="宋体"/>
                <w:bCs/>
                <w:color w:val="auto"/>
                <w:szCs w:val="21"/>
              </w:rPr>
            </w:pPr>
            <w:r>
              <w:rPr>
                <w:rFonts w:hint="eastAsia" w:ascii="宋体" w:hAnsi="宋体"/>
                <w:color w:val="auto"/>
                <w:szCs w:val="21"/>
              </w:rPr>
              <w:t xml:space="preserve">                          年     月    日</w:t>
            </w:r>
          </w:p>
        </w:tc>
      </w:tr>
      <w:bookmarkEnd w:id="2"/>
      <w:bookmarkEnd w:id="3"/>
      <w:bookmarkEnd w:id="4"/>
      <w:bookmarkEnd w:id="5"/>
    </w:tbl>
    <w:p>
      <w:pPr>
        <w:rPr>
          <w:rFonts w:ascii="宋体" w:eastAsia="宋体" w:cs="宋体"/>
          <w:color w:val="auto"/>
          <w:sz w:val="24"/>
          <w:szCs w:val="24"/>
        </w:rPr>
      </w:pPr>
      <w:r>
        <w:rPr>
          <w:rFonts w:ascii="宋体" w:eastAsia="宋体" w:cs="宋体"/>
          <w:color w:val="auto"/>
          <w:sz w:val="24"/>
          <w:szCs w:val="24"/>
        </w:rPr>
        <w:br w:type="page"/>
      </w:r>
    </w:p>
    <w:p>
      <w:pPr>
        <w:rPr>
          <w:rFonts w:hint="eastAsia"/>
          <w:lang w:val="en-US" w:eastAsia="zh-CN"/>
        </w:rPr>
      </w:pPr>
      <w:bookmarkStart w:id="6" w:name="_GoBack"/>
      <w:bookmarkEnd w:id="6"/>
    </w:p>
    <w:sectPr>
      <w:pgSz w:w="11906" w:h="16838"/>
      <w:pgMar w:top="1020" w:right="1066" w:bottom="1118" w:left="11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OTVlYjIwZTQxOGZmM2VmMThmZDIzMDY4NTI5ZGMifQ=="/>
  </w:docVars>
  <w:rsids>
    <w:rsidRoot w:val="6CF84E4D"/>
    <w:rsid w:val="091A6587"/>
    <w:rsid w:val="12DF66E1"/>
    <w:rsid w:val="56FB4954"/>
    <w:rsid w:val="6CF84E4D"/>
    <w:rsid w:val="75217079"/>
    <w:rsid w:val="77D141AD"/>
    <w:rsid w:val="78565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120" w:after="80" w:line="600" w:lineRule="exact"/>
      <w:jc w:val="center"/>
      <w:outlineLvl w:val="1"/>
    </w:pPr>
    <w:rPr>
      <w:rFonts w:ascii="黑体" w:hAnsi="宋体" w:eastAsia="黑体"/>
      <w:color w:val="000000"/>
      <w:kern w:val="0"/>
      <w:sz w:val="30"/>
      <w:szCs w:val="32"/>
    </w:rPr>
  </w:style>
  <w:style w:type="paragraph" w:styleId="3">
    <w:name w:val="heading 3"/>
    <w:basedOn w:val="1"/>
    <w:next w:val="1"/>
    <w:qFormat/>
    <w:uiPriority w:val="0"/>
    <w:pPr>
      <w:keepNext/>
      <w:keepLines/>
      <w:spacing w:line="300" w:lineRule="auto"/>
      <w:outlineLvl w:val="2"/>
    </w:pPr>
    <w:rPr>
      <w:b/>
      <w:bCs/>
      <w:szCs w:val="21"/>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2193</Words>
  <Characters>2478</Characters>
  <Lines>0</Lines>
  <Paragraphs>0</Paragraphs>
  <TotalTime>4</TotalTime>
  <ScaleCrop>false</ScaleCrop>
  <LinksUpToDate>false</LinksUpToDate>
  <CharactersWithSpaces>2902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2022-01-25T07:55:00Z</dcterms:created>
  <dc:creator>GD</dc:creator>
  <cp:lastModifiedBy>小式-小强</cp:lastModifiedBy>
  <dcterms:modified xsi:type="dcterms:W3CDTF">2022-09-23T02:27:57Z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4443DC10DD2744D9BA8BD6927F7100FF</vt:lpwstr>
  </property>
</Properties>
</file>