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default" w:asciiTheme="minorEastAsia" w:hAnsiTheme="minorEastAsia" w:eastAsiaTheme="minorEastAsia"/>
          <w:b w:val="0"/>
          <w:bCs/>
          <w:sz w:val="22"/>
          <w:szCs w:val="16"/>
          <w:lang w:val="en-US" w:eastAsia="zh-CN"/>
        </w:rPr>
      </w:pPr>
      <w:bookmarkStart w:id="0" w:name="_Toc11643"/>
      <w:r>
        <w:rPr>
          <w:rFonts w:hint="eastAsia" w:asciiTheme="minorEastAsia" w:hAnsiTheme="minorEastAsia" w:eastAsiaTheme="minorEastAsia"/>
          <w:b w:val="0"/>
          <w:bCs/>
          <w:sz w:val="22"/>
          <w:szCs w:val="16"/>
          <w:lang w:eastAsia="zh-CN"/>
        </w:rPr>
        <w:t>附件</w:t>
      </w:r>
      <w:r>
        <w:rPr>
          <w:rFonts w:hint="eastAsia" w:asciiTheme="minorEastAsia" w:hAnsiTheme="minorEastAsia" w:eastAsiaTheme="minorEastAsia"/>
          <w:b w:val="0"/>
          <w:bCs/>
          <w:sz w:val="22"/>
          <w:szCs w:val="16"/>
          <w:lang w:val="en-US" w:eastAsia="zh-CN"/>
        </w:rPr>
        <w:t>2：</w:t>
      </w:r>
    </w:p>
    <w:p>
      <w:pPr>
        <w:numPr>
          <w:ilvl w:val="0"/>
          <w:numId w:val="0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</w:rPr>
        <w:t>评标</w:t>
      </w:r>
      <w:bookmarkEnd w:id="0"/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评标委员会按投标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人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的报价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得分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从高到低的顺序依次选出中标候选</w:t>
      </w:r>
      <w:r>
        <w:rPr>
          <w:rFonts w:hint="eastAsia" w:asciiTheme="minorEastAsia" w:hAnsiTheme="minorEastAsia" w:eastAsiaTheme="minorEastAsia"/>
          <w:b w:val="0"/>
          <w:bCs w:val="0"/>
          <w:sz w:val="24"/>
          <w:lang w:eastAsia="zh-CN"/>
        </w:rPr>
        <w:t>人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2、报价得分计算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cs="@仿宋_GB2312" w:asciiTheme="minorEastAsia" w:hAnsiTheme="minorEastAsia" w:eastAsiaTheme="minorEastAsia"/>
          <w:kern w:val="2"/>
          <w:sz w:val="24"/>
          <w:szCs w:val="22"/>
          <w:lang w:val="en-US" w:eastAsia="zh-CN" w:bidi="ar-SA"/>
        </w:rPr>
      </w:pPr>
      <w:r>
        <w:rPr>
          <w:rFonts w:hint="eastAsia" w:cs="@仿宋_GB2312" w:asciiTheme="minorEastAsia" w:hAnsiTheme="minorEastAsia" w:eastAsiaTheme="minorEastAsia"/>
          <w:kern w:val="2"/>
          <w:sz w:val="24"/>
          <w:szCs w:val="22"/>
          <w:lang w:val="en-US" w:eastAsia="zh-CN" w:bidi="ar-SA"/>
        </w:rPr>
        <w:t>总分100分，报价得分计算方法如下：</w:t>
      </w:r>
    </w:p>
    <w:tbl>
      <w:tblPr>
        <w:tblStyle w:val="5"/>
        <w:tblW w:w="4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484"/>
        <w:gridCol w:w="127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</w:rPr>
              <w:t>评分内容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lang w:val="en-US" w:eastAsia="zh-CN"/>
              </w:rPr>
              <w:t>权重</w:t>
            </w:r>
          </w:p>
        </w:tc>
        <w:tc>
          <w:tcPr>
            <w:tcW w:w="1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以下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①满足</w:t>
            </w: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标文件要求的各分项报价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最低价格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为其基准价，其报价得满分。各项报价得分=（基准价/投标报价）×权重。（最后结果保留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位小数。）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总得分为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各项报价得分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③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每个区域报价得分分别计算。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00吨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(含)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同城（区域）运输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20公里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同城（区域）运输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20公里每公里增加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场地内运输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配重块租赁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平台0-100T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平台100-400T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平台400-600T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平台600-800T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平台800-1000T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平台1000-1500T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平台1500-2000T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平台2000-3000T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平台3000-4000T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9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 w:leftChars="0" w:hanging="12" w:hangingChars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合计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9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除了算术修正外，不对投标人的投标价格进行任何调整。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lang w:val="en-US" w:eastAsia="zh-CN"/>
        </w:rPr>
        <w:t>中标供应商确定后，各分项单价均以两家中标人各分项报价中最低价为结算依据，并以此结算单价签订合同</w:t>
      </w:r>
      <w:r>
        <w:rPr>
          <w:rFonts w:hint="eastAsia" w:ascii="宋体" w:hAnsi="宋体" w:eastAsia="宋体"/>
          <w:b w:val="0"/>
          <w:bCs/>
          <w:color w:val="auto"/>
          <w:sz w:val="24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当评标委员会认为各投标报价均较高时，可以否决全部投标</w:t>
      </w:r>
      <w:r>
        <w:rPr>
          <w:rFonts w:hint="eastAsia" w:ascii="宋体" w:hAnsi="宋体" w:eastAsia="宋体"/>
          <w:b w:val="0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供应商同意最低价者可进入本公司桩基检测劳务库，不接受最低价者可退出。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C9DF8"/>
    <w:multiLevelType w:val="singleLevel"/>
    <w:tmpl w:val="390C9D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VlYjIwZTQxOGZmM2VmMThmZDIzMDY4NTI5ZGMifQ=="/>
  </w:docVars>
  <w:rsids>
    <w:rsidRoot w:val="1BDC0D51"/>
    <w:rsid w:val="037843DA"/>
    <w:rsid w:val="050F0E27"/>
    <w:rsid w:val="05665561"/>
    <w:rsid w:val="07AC5627"/>
    <w:rsid w:val="08F87684"/>
    <w:rsid w:val="0E1A3F5F"/>
    <w:rsid w:val="149D2DC3"/>
    <w:rsid w:val="1514122A"/>
    <w:rsid w:val="162353D8"/>
    <w:rsid w:val="17236333"/>
    <w:rsid w:val="1A5F33D7"/>
    <w:rsid w:val="1BDC0D51"/>
    <w:rsid w:val="1F78141A"/>
    <w:rsid w:val="1F78445D"/>
    <w:rsid w:val="21460EBA"/>
    <w:rsid w:val="2636449F"/>
    <w:rsid w:val="275B6DE4"/>
    <w:rsid w:val="295D70AC"/>
    <w:rsid w:val="2A632A6F"/>
    <w:rsid w:val="2C994D68"/>
    <w:rsid w:val="30AA3E0E"/>
    <w:rsid w:val="33D9783A"/>
    <w:rsid w:val="353A75B7"/>
    <w:rsid w:val="35CF602C"/>
    <w:rsid w:val="371F7360"/>
    <w:rsid w:val="39966F49"/>
    <w:rsid w:val="3AC40348"/>
    <w:rsid w:val="3CBA76CC"/>
    <w:rsid w:val="3F030B5A"/>
    <w:rsid w:val="40A2210E"/>
    <w:rsid w:val="42950A87"/>
    <w:rsid w:val="42E413AF"/>
    <w:rsid w:val="4404364E"/>
    <w:rsid w:val="47D70F7F"/>
    <w:rsid w:val="48625AF6"/>
    <w:rsid w:val="49133E64"/>
    <w:rsid w:val="4C037083"/>
    <w:rsid w:val="4D403764"/>
    <w:rsid w:val="4EF57C2A"/>
    <w:rsid w:val="53032AFA"/>
    <w:rsid w:val="53623425"/>
    <w:rsid w:val="542C3DCE"/>
    <w:rsid w:val="59A2438B"/>
    <w:rsid w:val="59DA50AF"/>
    <w:rsid w:val="5BF67738"/>
    <w:rsid w:val="5C353F90"/>
    <w:rsid w:val="5E494410"/>
    <w:rsid w:val="5EB51FFA"/>
    <w:rsid w:val="5F564BFB"/>
    <w:rsid w:val="630B5A6D"/>
    <w:rsid w:val="63603C58"/>
    <w:rsid w:val="6AD457EA"/>
    <w:rsid w:val="6C9A25BF"/>
    <w:rsid w:val="71E46498"/>
    <w:rsid w:val="72511782"/>
    <w:rsid w:val="757E2A6F"/>
    <w:rsid w:val="76C5004E"/>
    <w:rsid w:val="7833408A"/>
    <w:rsid w:val="7B92363C"/>
    <w:rsid w:val="7D854856"/>
    <w:rsid w:val="7E5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firstLine="446" w:firstLine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qFormat/>
    <w:uiPriority w:val="0"/>
    <w:pPr>
      <w:snapToGrid/>
      <w:spacing w:after="120" w:line="240" w:lineRule="auto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584</Characters>
  <Lines>0</Lines>
  <Paragraphs>0</Paragraphs>
  <TotalTime>2</TotalTime>
  <ScaleCrop>false</ScaleCrop>
  <LinksUpToDate>false</LinksUpToDate>
  <CharactersWithSpaces>584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2022-01-27T09:03:00Z</dcterms:created>
  <dc:creator>檀军</dc:creator>
  <cp:lastModifiedBy>小式-小强</cp:lastModifiedBy>
  <cp:lastPrinted>2022-01-28T06:34:00Z</cp:lastPrinted>
  <dcterms:modified xsi:type="dcterms:W3CDTF">2022-09-21T03:53:57Z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3C7CEEAC1F114D83A16A143C12064FD1</vt:lpwstr>
  </property>
</Properties>
</file>